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/>
      </w:pPr>
      <w:r>
        <w:t xml:space="preserve"/>
      </w:r>
    </w:p>
    <w:p>
      <w:pPr>
        <w:spacing w:after="120"/>
        <w:jc w:val="center"/>
      </w:pPr>
      <w:r>
        <w:drawing>
          <wp:inline distT="0" distB="0" distL="0" distR="0">
            <wp:extent cx="1238250" cy="1238250"/>
            <wp:effectExtent t="0" r="0" b="0" l="0"/>
            <wp:docPr id="1" name="brand" descr="brand" title="Pars-Sec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0E2440"/>
          <w:sz w:val="26"/>
          <w:szCs w:val="26"/>
          <w:rtl/>
        </w:rPr>
        <w:t xml:space="preserve">پویا فناوران سدید ایرانیان</w:t>
      </w:r>
    </w:p>
    <w:p>
      <w:pPr>
        <w:bidi/>
        <w:spacing w:after="26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B5891F"/>
          <w:sz w:val="18"/>
          <w:szCs w:val="18"/>
        </w:rPr>
        <w:t xml:space="preserve">Pars-Secure  •  pars-secure.com</w:t>
      </w:r>
    </w:p>
    <w:p>
      <w:pPr>
        <w:shd w:fill="0E2440" w:val="clear"/>
        <w:bidi/>
        <w:spacing w:after="0" w:before="160" w:line="300"/>
        <w:jc w:val="center"/>
      </w:pPr>
      <w:r>
        <w:rPr>
          <w:rFonts w:ascii="Vazirmatn" w:cs="Vazirmatn" w:eastAsia="Vazirmatn" w:hAnsi="Vazirmatn"/>
          <w:b/>
          <w:bCs/>
          <w:color w:val="FFFFFF"/>
          <w:sz w:val="38"/>
          <w:szCs w:val="38"/>
          <w:rtl/>
        </w:rPr>
        <w:t xml:space="preserve">گزارش روایت حملهٔ تیم قرمز</w:t>
      </w:r>
    </w:p>
    <w:p>
      <w:pPr>
        <w:shd w:fill="B5891F" w:val="clear"/>
        <w:bidi/>
        <w:spacing w:after="240" w:before="0" w:line="300"/>
        <w:jc w:val="center"/>
      </w:pPr>
      <w:r>
        <w:rPr>
          <w:rFonts w:ascii="Vazirmatn" w:cs="Vazirmatn" w:eastAsia="Vazirmatn" w:hAnsi="Vazirmatn"/>
          <w:b/>
          <w:bCs/>
          <w:color w:val="1A1A1A"/>
          <w:sz w:val="18"/>
          <w:szCs w:val="18"/>
          <w:rtl/>
        </w:rPr>
        <w:t xml:space="preserve">Red Team Operation — Attack Narrative — نمونه</w:t>
      </w:r>
    </w:p>
    <w:p>
      <w:pPr>
        <w:spacing w:after="120"/>
      </w:pPr>
      <w:r>
        <w:t xml:space="preserve"/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کارفرما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شرکت نمونه (Acme Mobility)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کد پروژه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PS-1405-022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نوع سرویس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0E2440"/>
                <w:sz w:val="22"/>
                <w:szCs w:val="22"/>
                <w:rtl/>
              </w:rPr>
              <w:t xml:space="preserve">Red Team / Adversarial Simulation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نسخهٔ سند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۱.۰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تاریخ تهیه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۱۴۰۵/۰۳/۱۰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طبقه‌بندی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TLP:AMBER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22"/>
                <w:szCs w:val="22"/>
                <w:rtl/>
              </w:rPr>
              <w:t xml:space="preserve">(محرمانه)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استاندارد مرجع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MITRE ATT&amp;CK · PTES</w:t>
            </w:r>
          </w:p>
        </w:tc>
      </w:tr>
    </w:tbl>
    <w:p>
      <w:pPr>
        <w:spacing w:after="260"/>
      </w:pPr>
      <w:r>
        <w:t xml:space="preserve"/>
      </w:r>
    </w:p>
    <w:p>
      <w:pPr>
        <w:shd w:fill="FBF6E9" w:val="clear"/>
        <w:bidi/>
        <w:spacing w:after="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8A0C0E"/>
          <w:sz w:val="18"/>
          <w:szCs w:val="18"/>
          <w:rtl/>
        </w:rPr>
        <w:t xml:space="preserve">محرمانه — این سند حاوی اطلاعات حساس امنیتی است و انتشار آن خارج از طرفین مجاز، ممنوع می‌باشد.</w:t>
      </w:r>
    </w:p>
    <w:p>
      <w:r>
        <w:br w:type="page"/>
      </w:r>
    </w:p>
    <w:p>
      <w:pPr>
        <w:shd w:fill="FBF6E9" w:val="clear"/>
        <w:bidi/>
        <w:spacing w:after="16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8A0C0E"/>
          <w:sz w:val="18"/>
          <w:szCs w:val="18"/>
          <w:rtl/>
        </w:rPr>
        <w:t xml:space="preserve">نمونه — این گزارش روی محیط آزمایشی عمداً‌آسیب‌پذیر (OWASP crAPI) تهیه شده است؛ نام کارفرما و داده‌ها فرضی‌اند و گام‌های کامل بهره‌برداری پوشانده شده‌اند.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۱. خلاصهٔ مأموریت و اهداف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هدف این عملیات، سنجش توان واقعی مهاجم در رسیدن به «دارایی‌های حیاتی» (داده‌های شخصی کاربران و دسترسی سطح‌مدیر) از طریق سرویس‌های API عمومی، و هم‌زمان ارزیابی توان تشخیص و پاسخ تیم دفاع بود. برخلاف ارزیابی استاندارد که پوشش گسترده دارد، این عملیات سناریومحور و متمرکز بر یک مسیر حملهٔ واقعی است.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۲. سناریو و فرضیات تهدید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نوع سناریو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مهاجم خارجی با دانش اولیهٔ محدود (Grey-box)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سطح دانش اولیه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یک حساب کاربری عادی، بدون دسترسی ممتاز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دارایی هدف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داده‌های شخصی کاربران و دسترسی سطح‌مدیر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محدودیت‌ها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بر اساس سند RoE؛ بدون تخریب داده</w:t>
            </w:r>
          </w:p>
        </w:tc>
      </w:tr>
    </w:tbl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۳. روایت زنجیرهٔ حمله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مراحل به‌صورت روایی و به‌ترتیب اجرا، با نگاشت به تاکتیک‌های MITRE ATT&amp;CK مستند شده‌اند.</w:t>
      </w:r>
    </w:p>
    <w:p>
      <w:pPr>
        <w:pStyle w:val="Heading2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5"/>
          <w:szCs w:val="25"/>
          <w:rtl/>
        </w:rPr>
        <w:t xml:space="preserve">۳.۱ شناسایی (Reconnaissance)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نگاشت سطح حملهٔ عمومی و شناسایی سرویس‌های API در دسترس. سرویس انجمن به‌عنوان منبع نشت اطلاعات کاربران (شناسهٔ کاربر و خودرو) شناسایی شد — تاکتیک TA0043.</w:t>
      </w:r>
    </w:p>
    <w:p>
      <w:pPr>
        <w:pStyle w:val="Heading2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5"/>
          <w:szCs w:val="25"/>
          <w:rtl/>
        </w:rPr>
        <w:t xml:space="preserve">۳.۲ دسترسی اولیه (Initial Access)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ثبت‌نام یک حساب عادی و به‌دست‌آوردن توکن معتبر. با استفاده از ضعف محدودسازی نرخ در سرویس ورود، فهرستی از حساب‌های معتبر شمارش شد — تاکتیک TA0001.</w:t>
      </w:r>
    </w:p>
    <w:p>
      <w:pPr>
        <w:pStyle w:val="Heading2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5"/>
          <w:szCs w:val="25"/>
          <w:rtl/>
        </w:rPr>
        <w:t xml:space="preserve">۳.۳ ارتقای سطح دسترسی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بهره‌برداری از ضعف احراز هویت توکن (JWT) برای جعل توکن معتبر و دستیابی به سطح دسترسی بالاتر در پلتفرم — تاکتیک TA0004.</w:t>
      </w:r>
    </w:p>
    <w:p>
      <w:pPr>
        <w:pStyle w:val="Heading2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5"/>
          <w:szCs w:val="25"/>
          <w:rtl/>
        </w:rPr>
        <w:t xml:space="preserve">۳.۴ حرکت جانبی و جمع‌آوری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با ترکیب شناسه‌های نشت‌یافته از سرویس انجمن و ضعف کنترل دسترسی در سرویس موقعیت، داده‌های موقعیت مکانی و پروفایل خودروی سایر کاربران به‌صورت انبوه استخراج شد — تاکتیک TA0009.</w:t>
      </w:r>
    </w:p>
    <w:p>
      <w:pPr>
        <w:pStyle w:val="Heading2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5"/>
          <w:szCs w:val="25"/>
          <w:rtl/>
        </w:rPr>
        <w:t xml:space="preserve">۳.۵ استخراج و اثرگذاری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اثبات امکان دسترسی به داده‌های شخصی و موقعیت بلادرنگ کاربران در مقیاس انبوه — معادل نقض گستردهٔ حریم خصوصی. هیچ داده‌ای استخراج یا تخریب نشد و تمام فعالیت مطابق RoE متوقف شد — تاکتیک TA0040.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۴. نقشهٔ زنجیرهٔ کشتار (Kill Chain)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600"/>
        <w:gridCol w:w="3200"/>
        <w:gridCol w:w="2560"/>
      </w:tblGrid>
      <w:tr>
        <w:trPr>
          <w:tblHeader/>
        </w:trPr>
        <w:tc>
          <w:tcPr>
            <w:tcW w:type="dxa" w:w="1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گام</w:t>
            </w:r>
          </w:p>
        </w:tc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تاکتیک ATT&amp;CK</w:t>
            </w:r>
          </w:p>
        </w:tc>
        <w:tc>
          <w:tcPr>
            <w:tcW w:type="dxa" w:w="32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تکنیک (ID)</w:t>
            </w:r>
          </w:p>
        </w:tc>
        <w:tc>
          <w:tcPr>
            <w:tcW w:type="dxa" w:w="25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شواهد</w:t>
            </w:r>
          </w:p>
        </w:tc>
      </w:tr>
      <w:tr>
        <w:tc>
          <w:tcPr>
            <w:tcW w:type="dxa" w:w="1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۱</w:t>
            </w:r>
          </w:p>
        </w:tc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Reconnaissance</w:t>
            </w:r>
          </w:p>
        </w:tc>
        <w:tc>
          <w:tcPr>
            <w:tcW w:type="dxa" w:w="32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T1592 — Gather Victim Host Info</w:t>
            </w:r>
          </w:p>
        </w:tc>
        <w:tc>
          <w:tcPr>
            <w:tcW w:type="dxa" w:w="25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نگاشت سرویس انجمن</w:t>
            </w:r>
          </w:p>
        </w:tc>
      </w:tr>
      <w:tr>
        <w:tc>
          <w:tcPr>
            <w:tcW w:type="dxa" w:w="1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۲</w:t>
            </w:r>
          </w:p>
        </w:tc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Initial Access</w:t>
            </w:r>
          </w:p>
        </w:tc>
        <w:tc>
          <w:tcPr>
            <w:tcW w:type="dxa" w:w="32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T1078 — Valid Accounts</w:t>
            </w:r>
          </w:p>
        </w:tc>
        <w:tc>
          <w:tcPr>
            <w:tcW w:type="dxa" w:w="25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ثبت‌نام و شمارش حساب</w:t>
            </w:r>
          </w:p>
        </w:tc>
      </w:tr>
      <w:tr>
        <w:tc>
          <w:tcPr>
            <w:tcW w:type="dxa" w:w="1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۳</w:t>
            </w:r>
          </w:p>
        </w:tc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Credential Access</w:t>
            </w:r>
          </w:p>
        </w:tc>
        <w:tc>
          <w:tcPr>
            <w:tcW w:type="dxa" w:w="32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T1110 — Brute Force</w:t>
            </w:r>
          </w:p>
        </w:tc>
        <w:tc>
          <w:tcPr>
            <w:tcW w:type="dxa" w:w="25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ضعف محدودسازی نرخ</w:t>
            </w:r>
          </w:p>
        </w:tc>
      </w:tr>
      <w:tr>
        <w:tc>
          <w:tcPr>
            <w:tcW w:type="dxa" w:w="1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۴</w:t>
            </w:r>
          </w:p>
        </w:tc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Privilege Escalation</w:t>
            </w:r>
          </w:p>
        </w:tc>
        <w:tc>
          <w:tcPr>
            <w:tcW w:type="dxa" w:w="32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T1548 — Abuse Elevation Control</w:t>
            </w:r>
          </w:p>
        </w:tc>
        <w:tc>
          <w:tcPr>
            <w:tcW w:type="dxa" w:w="25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جعل توکن JWT</w:t>
            </w:r>
          </w:p>
        </w:tc>
      </w:tr>
      <w:tr>
        <w:tc>
          <w:tcPr>
            <w:tcW w:type="dxa" w:w="10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۵</w:t>
            </w:r>
          </w:p>
        </w:tc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Collection</w:t>
            </w:r>
          </w:p>
        </w:tc>
        <w:tc>
          <w:tcPr>
            <w:tcW w:type="dxa" w:w="32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T1213 — Data from Information Repositories</w:t>
            </w:r>
          </w:p>
        </w:tc>
        <w:tc>
          <w:tcPr>
            <w:tcW w:type="dxa" w:w="25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استخراج انبوه موقعیت</w:t>
            </w:r>
          </w:p>
        </w:tc>
      </w:tr>
    </w:tbl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۵. دستاوردهای کلیدی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تیم قرمز موفق شد بدون دسترسی اولیهٔ ممتاز، تنها با یک حساب عادی و زنجیر کردن سه ضعف (شمارش حساب، جعل توکن، و کنترل دسترسی ناقص)، به داده‌های شخصی و موقعیت مکانی کاربران در مقیاس انبوه دست یابد.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۶. شکاف‌های دفاعی و تشخیص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ارزش اصلی این فاز سنجش توان تشخیص و پاسخ مدافع است (نگاه Purple-Team).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حملهٔ شمارش حساب و جستجوی فراگیر در سرویس ورود شناسایی نشد (نبود پایش نرخ).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استخراج انبوه داده از سرویس موقعیت هیچ هشداری ایجاد نکرد (نبود تشخیص رفتار غیرعادی).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جعل توکن بدون ثبت رویداد امنیتی انجام شد (نبود لاگ کافی روی احراز هویت).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۷. توصیه‌های راهبردی دفاعی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استقرار پایش نرخ و تشخیص رفتار غیرعادی روی سرویس‌های احراز هویت و داده‌های حساس.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تقویت ثبت رویداد (logging) و هشداردهی بلادرنگ روی عملیات حساس.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بازنگری معماری مجوزدهی به‌صورت متمرکز و مقاوم در برابر زنجیره‌سازی حملات.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۸. جمع‌بندی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ارزش اصلی این عملیات، نمایش این واقعیت بود که ضعف‌های منفرد و به‌ظاهر کم‌اثر، در صورت زنجیر شدن، به یک مسیر حملهٔ بحرانی تبدیل می‌شوند. علاوه بر اصلاح فنی یافته‌ها، تقویت توان تشخیص و پاسخ تیم دفاع برای کاهش زمان کشف مهاجم ضروری است.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1440" w:right="1440" w:bottom="1440" w:left="144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DD3" w:sz="4" w:space="4"/>
      </w:pBdr>
      <w:bidi/>
      <w:spacing w:before="0"/>
      <w:jc w:val="center"/>
    </w:pPr>
    <w:r>
      <w:rPr>
        <w:rFonts w:ascii="Vazirmatn" w:cs="Vazirmatn" w:eastAsia="Vazirmatn" w:hAnsi="Vazirmatn"/>
        <w:color w:val="5B6470"/>
        <w:sz w:val="16"/>
        <w:szCs w:val="16"/>
        <w:rtl/>
      </w:rPr>
      <w:t xml:space="preserve">محرمانه — Confidential   •   صفحه </w:t>
    </w:r>
    <w:r>
      <w:rPr>
        <w:rFonts w:ascii="Vazirmatn" w:cs="Vazirmatn" w:eastAsia="Vazirmatn" w:hAnsi="Vazirmatn"/>
        <w:color w:val="5B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Vazirmatn" w:cs="Vazirmatn" w:eastAsia="Vazirmatn" w:hAnsi="Vazirmatn"/>
        <w:color w:val="5B6470"/>
        <w:sz w:val="16"/>
        <w:szCs w:val="16"/>
        <w:rtl/>
      </w:rPr>
      <w:t xml:space="preserve"> از </w:t>
    </w:r>
    <w:r>
      <w:rPr>
        <w:rFonts w:ascii="Vazirmatn" w:cs="Vazirmatn" w:eastAsia="Vazirmatn" w:hAnsi="Vazirmatn"/>
        <w:color w:val="5B64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891F" w:sz="4" w:space="4"/>
      </w:pBdr>
      <w:tabs>
        <w:tab w:val="right" w:pos="9360"/>
      </w:tabs>
      <w:bidi/>
      <w:spacing w:after="0"/>
      <w:jc w:val="right"/>
    </w:pPr>
    <w:r>
      <w:rPr>
        <w:rFonts w:ascii="Vazirmatn" w:cs="Vazirmatn" w:eastAsia="Vazirmatn" w:hAnsi="Vazirmatn"/>
        <w:color w:val="0E2440"/>
        <w:sz w:val="16"/>
        <w:szCs w:val="16"/>
        <w:rtl/>
      </w:rPr>
      <w:t xml:space="preserve">گزارش روایت حملهٔ تیم قرمز</w:t>
    </w:r>
    <w:r>
      <w:rPr>
        <w:rFonts w:ascii="Vazirmatn" w:cs="Vazirmatn" w:eastAsia="Vazirmatn" w:hAnsi="Vazirmatn"/>
      </w:rPr>
      <w:t xml:space="preserve">	</w:t>
    </w:r>
    <w:r>
      <w:rPr>
        <w:rFonts w:ascii="Vazirmatn" w:cs="Vazirmatn" w:eastAsia="Vazirmatn" w:hAnsi="Vazirmatn"/>
        <w:b/>
        <w:bCs/>
        <w:color w:val="B5891F"/>
        <w:sz w:val="16"/>
        <w:szCs w:val="16"/>
        <w:rtl/>
      </w:rPr>
      <w:t xml:space="preserve">پارس‌سکیور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start="600" w:hanging="280"/>
      </w:pPr>
      <w:rPr>
        <w:rFonts w:ascii="Vazirmatn" w:cs="Vazirmatn" w:eastAsia="Vazirmatn" w:hAnsi="Vazirmatn"/>
        <w:color w:val="B5891F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start="620" w:hanging="300"/>
      </w:pPr>
      <w:rPr>
        <w:rFonts w:ascii="Vazirmatn" w:cs="Vazirmatn" w:eastAsia="Vazirmatn" w:hAnsi="Vazirmatn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azirmatn" w:cs="Vazirmatn" w:eastAsia="Vazirmatn" w:hAnsi="Vazirmatn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60"/>
      <w:outlineLvl w:val="0"/>
    </w:pPr>
    <w:rPr>
      <w:rFonts w:ascii="Vazirmatn" w:cs="Vazirmatn" w:eastAsia="Vazirmatn" w:hAnsi="Vazirmatn"/>
      <w:b/>
      <w:bCs/>
      <w:color w:val="0E2440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Vazirmatn" w:cs="Vazirmatn" w:eastAsia="Vazirmatn" w:hAnsi="Vazirmatn"/>
      <w:b/>
      <w:bCs/>
      <w:color w:val="0E2440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Vazirmatn" w:cs="Vazirmatn" w:eastAsia="Vazirmatn" w:hAnsi="Vazirmatn"/>
      <w:b/>
      <w:bCs/>
      <w:color w:val="0E24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ff54db3cfb602050d5a9083021235d91b87605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روایت حملهٔ تیم قرمز</dc:title>
  <dc:creator>Pars-Secure / Pooya Fanavaran Sadid Iranian</dc:creator>
  <cp:lastModifiedBy>Un-named</cp:lastModifiedBy>
  <cp:revision>1</cp:revision>
  <dcterms:created xsi:type="dcterms:W3CDTF">2026-06-02T11:06:40.389Z</dcterms:created>
  <dcterms:modified xsi:type="dcterms:W3CDTF">2026-06-02T11:06:40.389Z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